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5F" w:rsidRDefault="00704C5F" w:rsidP="00704C5F">
      <w:pPr>
        <w:kinsoku w:val="0"/>
        <w:overflowPunct w:val="0"/>
        <w:spacing w:before="5" w:line="60" w:lineRule="exact"/>
        <w:rPr>
          <w:sz w:val="28"/>
          <w:szCs w:val="28"/>
        </w:rPr>
      </w:pPr>
    </w:p>
    <w:p w:rsidR="00704C5F" w:rsidRDefault="00704C5F" w:rsidP="00704C5F">
      <w:pPr>
        <w:kinsoku w:val="0"/>
        <w:overflowPunct w:val="0"/>
        <w:spacing w:before="5" w:line="60" w:lineRule="exact"/>
        <w:rPr>
          <w:sz w:val="28"/>
          <w:szCs w:val="28"/>
        </w:rPr>
      </w:pPr>
    </w:p>
    <w:p w:rsidR="00704C5F" w:rsidRPr="00704C5F" w:rsidRDefault="00704C5F" w:rsidP="00704C5F">
      <w:pPr>
        <w:kinsoku w:val="0"/>
        <w:overflowPunct w:val="0"/>
        <w:spacing w:before="5" w:line="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7D52" w:rsidRDefault="001B7D52" w:rsidP="00704C5F"/>
    <w:p w:rsidR="00710299" w:rsidRDefault="00723C43" w:rsidP="00704C5F">
      <w:r>
        <w:t>December 5, 201</w:t>
      </w:r>
      <w:r w:rsidR="00C97DBC">
        <w:t>6</w:t>
      </w:r>
    </w:p>
    <w:p w:rsidR="00566B25" w:rsidRDefault="00566B25" w:rsidP="00704C5F">
      <w:r>
        <w:t>Students and parents/guardians:</w:t>
      </w:r>
    </w:p>
    <w:p w:rsidR="00566B25" w:rsidRDefault="00566B25" w:rsidP="00704C5F">
      <w:r>
        <w:t xml:space="preserve">Attached is the information </w:t>
      </w:r>
      <w:r w:rsidR="00CD493A">
        <w:t xml:space="preserve">on </w:t>
      </w:r>
      <w:r>
        <w:t xml:space="preserve">how to enroll for dual enrollment credits through Penn Highlands Community College.  The process is completed online, including payment.  </w:t>
      </w:r>
      <w:r w:rsidR="008E69AE">
        <w:t xml:space="preserve">This is your opportunity to earn low-cost college credits that are typically transferable to </w:t>
      </w:r>
      <w:r w:rsidR="00E402CD">
        <w:t>other colleges and universities</w:t>
      </w:r>
      <w:r w:rsidR="008E69AE">
        <w:t>.</w:t>
      </w:r>
      <w:r w:rsidR="00CD493A">
        <w:t xml:space="preserve"> </w:t>
      </w:r>
      <w:r w:rsidR="008E69AE">
        <w:t xml:space="preserve">  </w:t>
      </w:r>
      <w:r w:rsidR="00CD493A">
        <w:t xml:space="preserve">For more information on dual enrollment, please visit:  </w:t>
      </w:r>
      <w:r w:rsidR="008E69AE" w:rsidRPr="00710299">
        <w:t>guilfoylecounseling.weebly.com/parents.html</w:t>
      </w:r>
    </w:p>
    <w:p w:rsidR="00410430" w:rsidRDefault="00704C5F" w:rsidP="00704C5F">
      <w:r>
        <w:t xml:space="preserve">Use this form to help identify your course at BG and the name of the Penn Highlands course you should enroll in:  </w:t>
      </w:r>
    </w:p>
    <w:tbl>
      <w:tblPr>
        <w:tblStyle w:val="TableGrid"/>
        <w:tblW w:w="9544" w:type="dxa"/>
        <w:tblLayout w:type="fixed"/>
        <w:tblLook w:val="04A0" w:firstRow="1" w:lastRow="0" w:firstColumn="1" w:lastColumn="0" w:noHBand="0" w:noVBand="1"/>
      </w:tblPr>
      <w:tblGrid>
        <w:gridCol w:w="1806"/>
        <w:gridCol w:w="2877"/>
        <w:gridCol w:w="1185"/>
        <w:gridCol w:w="2287"/>
        <w:gridCol w:w="1389"/>
      </w:tblGrid>
      <w:tr w:rsidR="00704C5F" w:rsidTr="00C97DBC">
        <w:trPr>
          <w:trHeight w:val="528"/>
        </w:trPr>
        <w:tc>
          <w:tcPr>
            <w:tcW w:w="1806" w:type="dxa"/>
          </w:tcPr>
          <w:p w:rsidR="00704C5F" w:rsidRPr="00704C5F" w:rsidRDefault="00704C5F" w:rsidP="00704C5F">
            <w:pPr>
              <w:jc w:val="center"/>
              <w:rPr>
                <w:b/>
                <w:u w:val="single"/>
              </w:rPr>
            </w:pPr>
            <w:r w:rsidRPr="00704C5F">
              <w:rPr>
                <w:b/>
                <w:u w:val="single"/>
              </w:rPr>
              <w:t>Course Number</w:t>
            </w:r>
          </w:p>
        </w:tc>
        <w:tc>
          <w:tcPr>
            <w:tcW w:w="2877" w:type="dxa"/>
          </w:tcPr>
          <w:p w:rsidR="00704C5F" w:rsidRPr="00704C5F" w:rsidRDefault="00704C5F" w:rsidP="00704C5F">
            <w:pPr>
              <w:jc w:val="center"/>
              <w:rPr>
                <w:b/>
                <w:u w:val="single"/>
              </w:rPr>
            </w:pPr>
            <w:r w:rsidRPr="00704C5F">
              <w:rPr>
                <w:b/>
                <w:u w:val="single"/>
              </w:rPr>
              <w:t>Penn Highlands Course</w:t>
            </w:r>
          </w:p>
        </w:tc>
        <w:tc>
          <w:tcPr>
            <w:tcW w:w="1185" w:type="dxa"/>
          </w:tcPr>
          <w:p w:rsidR="009E1670" w:rsidRDefault="00704C5F" w:rsidP="00704C5F">
            <w:pPr>
              <w:jc w:val="center"/>
              <w:rPr>
                <w:b/>
                <w:u w:val="single"/>
              </w:rPr>
            </w:pPr>
            <w:r w:rsidRPr="00704C5F">
              <w:rPr>
                <w:b/>
                <w:u w:val="single"/>
              </w:rPr>
              <w:t>Credits</w:t>
            </w:r>
            <w:r w:rsidR="009E1670">
              <w:rPr>
                <w:b/>
                <w:u w:val="single"/>
              </w:rPr>
              <w:t>/</w:t>
            </w:r>
          </w:p>
          <w:p w:rsidR="00704C5F" w:rsidRPr="00704C5F" w:rsidRDefault="009E1670" w:rsidP="00704C5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Cost</w:t>
            </w:r>
          </w:p>
        </w:tc>
        <w:tc>
          <w:tcPr>
            <w:tcW w:w="2287" w:type="dxa"/>
          </w:tcPr>
          <w:p w:rsidR="00704C5F" w:rsidRPr="00704C5F" w:rsidRDefault="00704C5F" w:rsidP="00704C5F">
            <w:pPr>
              <w:jc w:val="center"/>
              <w:rPr>
                <w:b/>
                <w:u w:val="single"/>
              </w:rPr>
            </w:pPr>
            <w:r w:rsidRPr="00704C5F">
              <w:rPr>
                <w:b/>
                <w:u w:val="single"/>
              </w:rPr>
              <w:t>Name of BG Course</w:t>
            </w:r>
          </w:p>
        </w:tc>
        <w:tc>
          <w:tcPr>
            <w:tcW w:w="1389" w:type="dxa"/>
          </w:tcPr>
          <w:p w:rsidR="00704C5F" w:rsidRPr="00704C5F" w:rsidRDefault="00704C5F" w:rsidP="00704C5F">
            <w:pPr>
              <w:jc w:val="center"/>
              <w:rPr>
                <w:b/>
                <w:u w:val="single"/>
              </w:rPr>
            </w:pPr>
            <w:r w:rsidRPr="00704C5F">
              <w:rPr>
                <w:b/>
                <w:u w:val="single"/>
              </w:rPr>
              <w:t>Teacher</w:t>
            </w:r>
          </w:p>
        </w:tc>
      </w:tr>
      <w:tr w:rsidR="00704C5F" w:rsidTr="00C97DBC">
        <w:trPr>
          <w:trHeight w:val="271"/>
        </w:trPr>
        <w:tc>
          <w:tcPr>
            <w:tcW w:w="1806" w:type="dxa"/>
          </w:tcPr>
          <w:p w:rsidR="00704C5F" w:rsidRDefault="00704C5F" w:rsidP="00704C5F">
            <w:r>
              <w:t>ACC 100</w:t>
            </w:r>
          </w:p>
        </w:tc>
        <w:tc>
          <w:tcPr>
            <w:tcW w:w="2877" w:type="dxa"/>
          </w:tcPr>
          <w:p w:rsidR="00704C5F" w:rsidRDefault="00704C5F" w:rsidP="00704C5F">
            <w:r>
              <w:t>Intro to Accting</w:t>
            </w:r>
          </w:p>
        </w:tc>
        <w:tc>
          <w:tcPr>
            <w:tcW w:w="1185" w:type="dxa"/>
          </w:tcPr>
          <w:p w:rsidR="00704C5F" w:rsidRDefault="00704C5F" w:rsidP="00704C5F">
            <w:r>
              <w:t>3</w:t>
            </w:r>
            <w:r w:rsidR="009E1670">
              <w:t>/$</w:t>
            </w:r>
            <w:r w:rsidR="00C97DBC">
              <w:t>174</w:t>
            </w:r>
          </w:p>
        </w:tc>
        <w:tc>
          <w:tcPr>
            <w:tcW w:w="2287" w:type="dxa"/>
          </w:tcPr>
          <w:p w:rsidR="00704C5F" w:rsidRDefault="00704C5F" w:rsidP="009E1670">
            <w:r>
              <w:t>Ac</w:t>
            </w:r>
            <w:r w:rsidR="009E1670">
              <w:t>counting</w:t>
            </w:r>
            <w:r>
              <w:t xml:space="preserve"> I</w:t>
            </w:r>
          </w:p>
        </w:tc>
        <w:tc>
          <w:tcPr>
            <w:tcW w:w="1389" w:type="dxa"/>
          </w:tcPr>
          <w:p w:rsidR="00704C5F" w:rsidRDefault="00C97DBC" w:rsidP="00704C5F">
            <w:r>
              <w:t>Querry, Nicole</w:t>
            </w:r>
          </w:p>
        </w:tc>
      </w:tr>
      <w:tr w:rsidR="009E1670" w:rsidTr="00C97DBC">
        <w:trPr>
          <w:trHeight w:val="271"/>
        </w:trPr>
        <w:tc>
          <w:tcPr>
            <w:tcW w:w="1806" w:type="dxa"/>
          </w:tcPr>
          <w:p w:rsidR="009E1670" w:rsidRDefault="00C97DBC" w:rsidP="00704C5F">
            <w:r>
              <w:t>ACC 110</w:t>
            </w:r>
          </w:p>
        </w:tc>
        <w:tc>
          <w:tcPr>
            <w:tcW w:w="2877" w:type="dxa"/>
          </w:tcPr>
          <w:p w:rsidR="009E1670" w:rsidRDefault="00C97DBC" w:rsidP="00704C5F">
            <w:r>
              <w:t xml:space="preserve">Principals of Accting </w:t>
            </w:r>
          </w:p>
        </w:tc>
        <w:tc>
          <w:tcPr>
            <w:tcW w:w="1185" w:type="dxa"/>
          </w:tcPr>
          <w:p w:rsidR="009E1670" w:rsidRDefault="00C97DBC" w:rsidP="00704C5F">
            <w:r>
              <w:t>3/$174</w:t>
            </w:r>
          </w:p>
        </w:tc>
        <w:tc>
          <w:tcPr>
            <w:tcW w:w="2287" w:type="dxa"/>
          </w:tcPr>
          <w:p w:rsidR="009E1670" w:rsidRDefault="00C97DBC" w:rsidP="00704C5F">
            <w:r>
              <w:t>Accounting II</w:t>
            </w:r>
          </w:p>
        </w:tc>
        <w:tc>
          <w:tcPr>
            <w:tcW w:w="1389" w:type="dxa"/>
          </w:tcPr>
          <w:p w:rsidR="009E1670" w:rsidRDefault="00C97DBC" w:rsidP="00704C5F">
            <w:r>
              <w:t>Querry, Nicole</w:t>
            </w:r>
          </w:p>
        </w:tc>
      </w:tr>
    </w:tbl>
    <w:p w:rsidR="00704C5F" w:rsidRDefault="00704C5F" w:rsidP="00704C5F"/>
    <w:p w:rsidR="009E1670" w:rsidRDefault="009E1670" w:rsidP="00704C5F">
      <w:pPr>
        <w:rPr>
          <w:b/>
          <w:u w:val="single"/>
        </w:rPr>
      </w:pPr>
      <w:r>
        <w:rPr>
          <w:b/>
          <w:u w:val="single"/>
        </w:rPr>
        <w:t>Cost per credit</w:t>
      </w:r>
      <w:r w:rsidRPr="009E1670">
        <w:t>: $</w:t>
      </w:r>
      <w:r w:rsidR="003618C1" w:rsidRPr="009E1670">
        <w:t>5</w:t>
      </w:r>
      <w:r w:rsidR="00C97DBC">
        <w:t>8.00</w:t>
      </w:r>
    </w:p>
    <w:p w:rsidR="00704C5F" w:rsidRDefault="00566B25" w:rsidP="00704C5F">
      <w:r w:rsidRPr="00566B25">
        <w:rPr>
          <w:b/>
          <w:u w:val="single"/>
        </w:rPr>
        <w:t>Enroll online by:</w:t>
      </w:r>
      <w:r w:rsidR="001B7D52">
        <w:t xml:space="preserve">  </w:t>
      </w:r>
      <w:r w:rsidR="00C97DBC">
        <w:t>February 10</w:t>
      </w:r>
      <w:r w:rsidR="00C97DBC" w:rsidRPr="00C97DBC">
        <w:rPr>
          <w:vertAlign w:val="superscript"/>
        </w:rPr>
        <w:t>th</w:t>
      </w:r>
      <w:r w:rsidR="00C97DBC">
        <w:t>, 2017</w:t>
      </w:r>
    </w:p>
    <w:p w:rsidR="00566B25" w:rsidRDefault="00566B25" w:rsidP="00704C5F">
      <w:r w:rsidRPr="00566B25">
        <w:rPr>
          <w:b/>
          <w:u w:val="single"/>
        </w:rPr>
        <w:t>Pay online by:</w:t>
      </w:r>
      <w:r w:rsidR="001B7D52">
        <w:t xml:space="preserve">  </w:t>
      </w:r>
      <w:r w:rsidR="00C97DBC">
        <w:t>February 17</w:t>
      </w:r>
      <w:r w:rsidR="00C97DBC" w:rsidRPr="00C97DBC">
        <w:rPr>
          <w:vertAlign w:val="superscript"/>
        </w:rPr>
        <w:t>th</w:t>
      </w:r>
      <w:r w:rsidR="00C97DBC">
        <w:t>, 2017</w:t>
      </w:r>
      <w:r w:rsidR="00C97DBC">
        <w:br/>
      </w:r>
    </w:p>
    <w:p w:rsidR="00C97DBC" w:rsidRDefault="00C97DBC" w:rsidP="00704C5F">
      <w:r w:rsidRPr="00C97DBC">
        <w:rPr>
          <w:b/>
          <w:u w:val="single"/>
        </w:rPr>
        <w:t>ACE Hotline:</w:t>
      </w:r>
      <w:r>
        <w:t xml:space="preserve">  Follow </w:t>
      </w:r>
      <w:r w:rsidR="00E402CD">
        <w:t>the directions</w:t>
      </w:r>
      <w:r>
        <w:t xml:space="preserve"> on the following pages to apply and register for classes, if you need assistance with the process call:  814-262-6444  </w:t>
      </w:r>
    </w:p>
    <w:p w:rsidR="00E402CD" w:rsidRDefault="00E402CD" w:rsidP="00704C5F"/>
    <w:p w:rsidR="008E69AE" w:rsidRDefault="00566B25" w:rsidP="009E1670">
      <w:pPr>
        <w:jc w:val="center"/>
      </w:pPr>
      <w:r>
        <w:t xml:space="preserve">--You will not be able to </w:t>
      </w:r>
      <w:r w:rsidR="008E69AE">
        <w:t>apply for</w:t>
      </w:r>
      <w:r>
        <w:t xml:space="preserve"> dual enrollment after the due </w:t>
      </w:r>
      <w:proofErr w:type="gramStart"/>
      <w:r>
        <w:t>date.—</w:t>
      </w:r>
      <w:proofErr w:type="gramEnd"/>
    </w:p>
    <w:p w:rsidR="009E1670" w:rsidRPr="009E1670" w:rsidRDefault="009E1670" w:rsidP="009E1670">
      <w:pPr>
        <w:jc w:val="center"/>
      </w:pPr>
    </w:p>
    <w:p w:rsidR="008E69AE" w:rsidRPr="008E69AE" w:rsidRDefault="008E69AE" w:rsidP="00704C5F">
      <w:r w:rsidRPr="008E69AE">
        <w:t>Sincerely,</w:t>
      </w:r>
    </w:p>
    <w:p w:rsidR="008E69AE" w:rsidRPr="008E69AE" w:rsidRDefault="008E69AE" w:rsidP="00704C5F">
      <w:r w:rsidRPr="008E69AE">
        <w:t>Mrs. Barkman</w:t>
      </w:r>
      <w:bookmarkStart w:id="0" w:name="_GoBack"/>
      <w:bookmarkEnd w:id="0"/>
    </w:p>
    <w:p w:rsidR="00A370B5" w:rsidRPr="003618C1" w:rsidRDefault="008E69AE" w:rsidP="00704C5F">
      <w:r w:rsidRPr="008E69AE">
        <w:t>School Counselor</w:t>
      </w:r>
    </w:p>
    <w:p w:rsidR="00A370B5" w:rsidRPr="003618C1" w:rsidRDefault="00A370B5" w:rsidP="00704C5F"/>
    <w:sectPr w:rsidR="00A370B5" w:rsidRPr="003618C1" w:rsidSect="004120F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94D24"/>
    <w:multiLevelType w:val="hybridMultilevel"/>
    <w:tmpl w:val="7E223F5E"/>
    <w:lvl w:ilvl="0" w:tplc="3844E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1A39A3"/>
    <w:multiLevelType w:val="hybridMultilevel"/>
    <w:tmpl w:val="DE36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30"/>
    <w:rsid w:val="0016390F"/>
    <w:rsid w:val="001B7D52"/>
    <w:rsid w:val="0025657C"/>
    <w:rsid w:val="003618C1"/>
    <w:rsid w:val="003A10ED"/>
    <w:rsid w:val="00410430"/>
    <w:rsid w:val="004120FC"/>
    <w:rsid w:val="00566B25"/>
    <w:rsid w:val="00704C5F"/>
    <w:rsid w:val="00710299"/>
    <w:rsid w:val="00723C43"/>
    <w:rsid w:val="008E69AE"/>
    <w:rsid w:val="009E1670"/>
    <w:rsid w:val="00A370B5"/>
    <w:rsid w:val="00C632DF"/>
    <w:rsid w:val="00C97DBC"/>
    <w:rsid w:val="00CD493A"/>
    <w:rsid w:val="00D80D27"/>
    <w:rsid w:val="00D96A4B"/>
    <w:rsid w:val="00E402CD"/>
    <w:rsid w:val="00E5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4A91"/>
  <w15:docId w15:val="{1F9077EF-459D-492E-BA6A-AF9997BE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0430"/>
    <w:rPr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04C5F"/>
    <w:pPr>
      <w:widowControl w:val="0"/>
      <w:autoSpaceDE w:val="0"/>
      <w:autoSpaceDN w:val="0"/>
      <w:adjustRightInd w:val="0"/>
      <w:spacing w:before="66" w:after="0" w:line="240" w:lineRule="auto"/>
      <w:ind w:left="126"/>
    </w:pPr>
    <w:rPr>
      <w:rFonts w:ascii="Tahoma" w:eastAsia="Times New Roman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04C5F"/>
    <w:rPr>
      <w:rFonts w:ascii="Tahoma" w:eastAsia="Times New Roman" w:hAnsi="Tahoma" w:cs="Tahom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04C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70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370B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370B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70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906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Emily Barkman</cp:lastModifiedBy>
  <cp:revision>4</cp:revision>
  <cp:lastPrinted>2015-09-08T14:52:00Z</cp:lastPrinted>
  <dcterms:created xsi:type="dcterms:W3CDTF">2016-12-01T12:45:00Z</dcterms:created>
  <dcterms:modified xsi:type="dcterms:W3CDTF">2016-12-01T12:54:00Z</dcterms:modified>
</cp:coreProperties>
</file>